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5683" w14:textId="6F16C793" w:rsidR="002136D5" w:rsidRPr="00AC642F" w:rsidRDefault="002136D5" w:rsidP="00F75FC4">
      <w:pPr>
        <w:spacing w:before="66"/>
        <w:ind w:left="120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42F">
        <w:rPr>
          <w:sz w:val="22"/>
          <w:szCs w:val="22"/>
        </w:rPr>
        <w:t xml:space="preserve"> </w:t>
      </w:r>
    </w:p>
    <w:p w14:paraId="40BCC63E" w14:textId="47D788F1" w:rsidR="00DE3366" w:rsidRPr="00AC642F" w:rsidRDefault="00465295">
      <w:pPr>
        <w:spacing w:before="66"/>
        <w:ind w:left="120"/>
        <w:rPr>
          <w:sz w:val="22"/>
          <w:szCs w:val="22"/>
        </w:rPr>
      </w:pPr>
      <w:r w:rsidRPr="00AC642F">
        <w:rPr>
          <w:sz w:val="22"/>
          <w:szCs w:val="22"/>
        </w:rPr>
        <w:t>06/27</w:t>
      </w:r>
      <w:r w:rsidR="002136D5" w:rsidRPr="00AC642F">
        <w:rPr>
          <w:sz w:val="22"/>
          <w:szCs w:val="22"/>
        </w:rPr>
        <w:t>/2024</w:t>
      </w:r>
      <w:r w:rsidR="003447C8" w:rsidRPr="00AC642F">
        <w:rPr>
          <w:sz w:val="22"/>
          <w:szCs w:val="22"/>
        </w:rPr>
        <w:t xml:space="preserve">                                                                </w:t>
      </w:r>
      <w:r w:rsidR="003447C8" w:rsidRPr="00AC642F">
        <w:rPr>
          <w:spacing w:val="47"/>
          <w:sz w:val="22"/>
          <w:szCs w:val="22"/>
        </w:rPr>
        <w:t xml:space="preserve"> </w:t>
      </w:r>
      <w:r w:rsidR="004B2B91">
        <w:rPr>
          <w:spacing w:val="47"/>
          <w:sz w:val="22"/>
          <w:szCs w:val="22"/>
        </w:rPr>
        <w:t xml:space="preserve">    </w:t>
      </w:r>
      <w:r w:rsidR="003447C8" w:rsidRPr="00AC642F">
        <w:rPr>
          <w:sz w:val="22"/>
          <w:szCs w:val="22"/>
        </w:rPr>
        <w:t xml:space="preserve">Presented by:  </w:t>
      </w:r>
      <w:r w:rsidR="003447C8" w:rsidRPr="00AC642F">
        <w:rPr>
          <w:spacing w:val="20"/>
          <w:sz w:val="22"/>
          <w:szCs w:val="22"/>
        </w:rPr>
        <w:t xml:space="preserve"> </w:t>
      </w:r>
      <w:r w:rsidR="00F75FC4">
        <w:rPr>
          <w:spacing w:val="20"/>
          <w:sz w:val="22"/>
          <w:szCs w:val="22"/>
        </w:rPr>
        <w:t>Mrs. Thompson</w:t>
      </w:r>
    </w:p>
    <w:p w14:paraId="250E0C85" w14:textId="77777777" w:rsidR="00DE3366" w:rsidRPr="00AC642F" w:rsidRDefault="00DE3366">
      <w:pPr>
        <w:spacing w:before="2" w:line="140" w:lineRule="exact"/>
        <w:rPr>
          <w:sz w:val="22"/>
          <w:szCs w:val="22"/>
        </w:rPr>
      </w:pPr>
    </w:p>
    <w:p w14:paraId="2703158C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C5E5D6C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0B32CF9B" w14:textId="53489ADD" w:rsidR="00DE3366" w:rsidRPr="00AC642F" w:rsidRDefault="002136D5">
      <w:pPr>
        <w:ind w:left="2932" w:right="2912"/>
        <w:jc w:val="center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ORDINANCE NO. </w:t>
      </w:r>
      <w:r w:rsidR="00F75FC4">
        <w:rPr>
          <w:b/>
          <w:sz w:val="22"/>
          <w:szCs w:val="22"/>
        </w:rPr>
        <w:t xml:space="preserve">  59</w:t>
      </w:r>
      <w:r w:rsidR="003447C8" w:rsidRPr="00AC642F">
        <w:rPr>
          <w:b/>
          <w:sz w:val="22"/>
          <w:szCs w:val="22"/>
        </w:rPr>
        <w:t>-</w:t>
      </w:r>
      <w:r w:rsidRPr="00AC642F">
        <w:rPr>
          <w:b/>
          <w:sz w:val="22"/>
          <w:szCs w:val="22"/>
        </w:rPr>
        <w:t>2024</w:t>
      </w:r>
    </w:p>
    <w:p w14:paraId="375318D8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09ECDE67" w14:textId="77777777" w:rsidR="002136D5" w:rsidRPr="00AC642F" w:rsidRDefault="003447C8" w:rsidP="002136D5">
      <w:pPr>
        <w:ind w:left="2283" w:firstLine="597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 xml:space="preserve">TITLE:   APPROPRIATION </w:t>
      </w:r>
    </w:p>
    <w:p w14:paraId="5F1CD747" w14:textId="77777777" w:rsidR="00DE3366" w:rsidRPr="00AC642F" w:rsidRDefault="00465295" w:rsidP="005842F0">
      <w:pPr>
        <w:ind w:left="2283" w:firstLine="597"/>
        <w:rPr>
          <w:sz w:val="22"/>
          <w:szCs w:val="22"/>
        </w:rPr>
      </w:pPr>
      <w:r w:rsidRPr="00AC642F">
        <w:rPr>
          <w:b/>
          <w:sz w:val="22"/>
          <w:szCs w:val="22"/>
        </w:rPr>
        <w:t>PLANNING</w:t>
      </w:r>
      <w:r w:rsidR="005842F0" w:rsidRPr="00AC642F">
        <w:rPr>
          <w:b/>
          <w:sz w:val="22"/>
          <w:szCs w:val="22"/>
        </w:rPr>
        <w:t xml:space="preserve"> DEPARTMENT </w:t>
      </w:r>
    </w:p>
    <w:p w14:paraId="707BB208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5469C4AE" w14:textId="77777777" w:rsidR="00DE3366" w:rsidRPr="00AC642F" w:rsidRDefault="003447C8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AN ORDINANCE</w:t>
      </w:r>
      <w:r w:rsidRPr="00AC642F">
        <w:rPr>
          <w:b/>
          <w:spacing w:val="1"/>
          <w:sz w:val="22"/>
          <w:szCs w:val="22"/>
        </w:rPr>
        <w:t xml:space="preserve"> </w:t>
      </w:r>
      <w:r w:rsidR="00465295" w:rsidRPr="00AC642F">
        <w:rPr>
          <w:b/>
          <w:sz w:val="22"/>
          <w:szCs w:val="22"/>
        </w:rPr>
        <w:t>APPROPRIATING $151,402.68</w:t>
      </w:r>
      <w:r w:rsidRPr="00AC642F">
        <w:rPr>
          <w:b/>
          <w:sz w:val="22"/>
          <w:szCs w:val="22"/>
        </w:rPr>
        <w:t xml:space="preserve"> FROM THE </w:t>
      </w:r>
      <w:r w:rsidR="00465295" w:rsidRPr="00AC642F">
        <w:rPr>
          <w:b/>
          <w:sz w:val="22"/>
          <w:szCs w:val="22"/>
        </w:rPr>
        <w:t>CITY</w:t>
      </w:r>
      <w:r w:rsidR="00A96174">
        <w:rPr>
          <w:b/>
          <w:sz w:val="22"/>
          <w:szCs w:val="22"/>
        </w:rPr>
        <w:t>’</w:t>
      </w:r>
      <w:r w:rsidR="00465295" w:rsidRPr="00AC642F">
        <w:rPr>
          <w:b/>
          <w:sz w:val="22"/>
          <w:szCs w:val="22"/>
        </w:rPr>
        <w:t xml:space="preserve">S </w:t>
      </w:r>
      <w:r w:rsidRPr="00AC642F">
        <w:rPr>
          <w:b/>
          <w:sz w:val="22"/>
          <w:szCs w:val="22"/>
        </w:rPr>
        <w:t xml:space="preserve">UNAPPROPRIATED </w:t>
      </w:r>
      <w:r w:rsidR="005842F0" w:rsidRPr="00AC642F">
        <w:rPr>
          <w:b/>
          <w:sz w:val="22"/>
          <w:szCs w:val="22"/>
        </w:rPr>
        <w:t xml:space="preserve">GENERAL </w:t>
      </w:r>
      <w:r w:rsidRPr="00AC642F">
        <w:rPr>
          <w:b/>
          <w:sz w:val="22"/>
          <w:szCs w:val="22"/>
        </w:rPr>
        <w:t>FUND</w:t>
      </w:r>
      <w:r w:rsidR="00465295" w:rsidRPr="00AC642F">
        <w:rPr>
          <w:b/>
          <w:sz w:val="22"/>
          <w:szCs w:val="22"/>
        </w:rPr>
        <w:t xml:space="preserve"> TO THE PLANNING</w:t>
      </w:r>
      <w:r w:rsidR="00A661DE" w:rsidRPr="00AC642F">
        <w:rPr>
          <w:b/>
          <w:sz w:val="22"/>
          <w:szCs w:val="22"/>
        </w:rPr>
        <w:t xml:space="preserve"> DEPARTMENT</w:t>
      </w:r>
      <w:r w:rsidR="00A96174">
        <w:rPr>
          <w:b/>
          <w:sz w:val="22"/>
          <w:szCs w:val="22"/>
        </w:rPr>
        <w:t>’</w:t>
      </w:r>
      <w:r w:rsidR="00A661DE" w:rsidRPr="00AC642F">
        <w:rPr>
          <w:b/>
          <w:sz w:val="22"/>
          <w:szCs w:val="22"/>
        </w:rPr>
        <w:t>S OPERATION AND MAINTENANCE FUND</w:t>
      </w:r>
      <w:r w:rsidR="005842F0" w:rsidRPr="00AC642F">
        <w:rPr>
          <w:b/>
          <w:sz w:val="22"/>
          <w:szCs w:val="22"/>
        </w:rPr>
        <w:t xml:space="preserve">, </w:t>
      </w:r>
      <w:r w:rsidRPr="00AC642F">
        <w:rPr>
          <w:b/>
          <w:sz w:val="22"/>
          <w:szCs w:val="22"/>
        </w:rPr>
        <w:t>AND DECLARING AN EMERGENCY.</w:t>
      </w:r>
    </w:p>
    <w:p w14:paraId="78AB3713" w14:textId="77777777" w:rsidR="00F076B6" w:rsidRPr="00AC642F" w:rsidRDefault="00F076B6">
      <w:pPr>
        <w:spacing w:before="16" w:line="260" w:lineRule="exact"/>
        <w:rPr>
          <w:sz w:val="22"/>
          <w:szCs w:val="22"/>
        </w:rPr>
      </w:pPr>
    </w:p>
    <w:p w14:paraId="5B6CDB5F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>WHEREAS,</w:t>
      </w:r>
      <w:r w:rsidR="00A96174">
        <w:rPr>
          <w:sz w:val="22"/>
          <w:szCs w:val="22"/>
        </w:rPr>
        <w:t xml:space="preserve"> the City’s General Fund monies </w:t>
      </w:r>
      <w:r w:rsidRPr="00AC642F">
        <w:rPr>
          <w:sz w:val="22"/>
          <w:szCs w:val="22"/>
        </w:rPr>
        <w:t>will be utilized for the payback of origin year grants for the Community Development Block Grant Administration</w:t>
      </w:r>
      <w:r w:rsidR="00A96174">
        <w:rPr>
          <w:sz w:val="22"/>
          <w:szCs w:val="22"/>
        </w:rPr>
        <w:t xml:space="preserve"> (CDBG)</w:t>
      </w:r>
      <w:r w:rsidRPr="00AC642F">
        <w:rPr>
          <w:sz w:val="22"/>
          <w:szCs w:val="22"/>
        </w:rPr>
        <w:t xml:space="preserve"> funds from the 2015, 2017, and 2019 program years; and</w:t>
      </w:r>
      <w:r w:rsidRPr="00AC642F">
        <w:rPr>
          <w:b/>
          <w:sz w:val="22"/>
          <w:szCs w:val="22"/>
        </w:rPr>
        <w:t xml:space="preserve"> </w:t>
      </w:r>
    </w:p>
    <w:p w14:paraId="7A28B4EF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</w:p>
    <w:p w14:paraId="06B22479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 xml:space="preserve">WHEREAS, </w:t>
      </w:r>
      <w:r w:rsidRPr="00AC642F">
        <w:rPr>
          <w:sz w:val="22"/>
          <w:szCs w:val="22"/>
        </w:rPr>
        <w:t xml:space="preserve">the </w:t>
      </w:r>
      <w:r w:rsidR="00A96174">
        <w:rPr>
          <w:sz w:val="22"/>
          <w:szCs w:val="22"/>
        </w:rPr>
        <w:t xml:space="preserve">CDBG </w:t>
      </w:r>
      <w:r w:rsidR="00A96174" w:rsidRPr="00AC642F">
        <w:rPr>
          <w:sz w:val="22"/>
          <w:szCs w:val="22"/>
        </w:rPr>
        <w:t>regulation</w:t>
      </w:r>
      <w:r w:rsidR="00A96174">
        <w:rPr>
          <w:sz w:val="22"/>
          <w:szCs w:val="22"/>
        </w:rPr>
        <w:t>s state, “No more than twenty (20%)</w:t>
      </w:r>
      <w:r w:rsidRPr="00AC642F">
        <w:rPr>
          <w:sz w:val="22"/>
          <w:szCs w:val="22"/>
        </w:rPr>
        <w:t xml:space="preserve"> percent of any origin year shall be expended for planning and program administrative costs”; and</w:t>
      </w:r>
      <w:r w:rsidRPr="00AC642F">
        <w:rPr>
          <w:b/>
          <w:sz w:val="22"/>
          <w:szCs w:val="22"/>
        </w:rPr>
        <w:t xml:space="preserve"> </w:t>
      </w:r>
    </w:p>
    <w:p w14:paraId="7B2DDBF1" w14:textId="77777777" w:rsidR="00A661DE" w:rsidRPr="00AC642F" w:rsidRDefault="00A661DE" w:rsidP="00A661DE">
      <w:pPr>
        <w:ind w:left="120" w:right="59" w:firstLine="720"/>
        <w:jc w:val="both"/>
        <w:rPr>
          <w:sz w:val="22"/>
          <w:szCs w:val="22"/>
        </w:rPr>
      </w:pPr>
    </w:p>
    <w:p w14:paraId="295BB047" w14:textId="77777777" w:rsidR="00A661DE" w:rsidRPr="00AC642F" w:rsidRDefault="00A661DE" w:rsidP="00A661DE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WHEREAS</w:t>
      </w:r>
      <w:r w:rsidRPr="00AC642F">
        <w:rPr>
          <w:sz w:val="22"/>
          <w:szCs w:val="22"/>
        </w:rPr>
        <w:t>, the amount due for 2015 is $16,868.94, the amount due for 2017 is $32,442.07, and the amount due for 2019 is $102,091.67 for a total of $151,402.68; and</w:t>
      </w:r>
    </w:p>
    <w:p w14:paraId="3D8653DB" w14:textId="77777777" w:rsidR="00A661DE" w:rsidRPr="00AC642F" w:rsidRDefault="00A661DE" w:rsidP="00A661DE">
      <w:pPr>
        <w:ind w:left="120" w:right="59" w:firstLine="720"/>
        <w:jc w:val="both"/>
        <w:rPr>
          <w:sz w:val="22"/>
          <w:szCs w:val="22"/>
        </w:rPr>
      </w:pPr>
    </w:p>
    <w:p w14:paraId="654BDE02" w14:textId="77777777" w:rsidR="00A661DE" w:rsidRPr="00AC642F" w:rsidRDefault="00A661DE" w:rsidP="00A661DE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WHEREAS</w:t>
      </w:r>
      <w:r w:rsidRPr="00AC642F">
        <w:rPr>
          <w:sz w:val="22"/>
          <w:szCs w:val="22"/>
        </w:rPr>
        <w:t xml:space="preserve">, all funds will need to be reimbursed to HUD </w:t>
      </w:r>
      <w:r w:rsidR="00301028">
        <w:rPr>
          <w:sz w:val="22"/>
          <w:szCs w:val="22"/>
        </w:rPr>
        <w:t>thirty (</w:t>
      </w:r>
      <w:r w:rsidRPr="00AC642F">
        <w:rPr>
          <w:sz w:val="22"/>
          <w:szCs w:val="22"/>
        </w:rPr>
        <w:t>30</w:t>
      </w:r>
      <w:r w:rsidR="00301028">
        <w:rPr>
          <w:sz w:val="22"/>
          <w:szCs w:val="22"/>
        </w:rPr>
        <w:t>)</w:t>
      </w:r>
      <w:r w:rsidRPr="00AC642F">
        <w:rPr>
          <w:sz w:val="22"/>
          <w:szCs w:val="22"/>
        </w:rPr>
        <w:t xml:space="preserve"> days from the date Planning Department received </w:t>
      </w:r>
      <w:r w:rsidR="00301028">
        <w:rPr>
          <w:sz w:val="22"/>
          <w:szCs w:val="22"/>
        </w:rPr>
        <w:t xml:space="preserve">the </w:t>
      </w:r>
      <w:r w:rsidRPr="00AC642F">
        <w:rPr>
          <w:sz w:val="22"/>
          <w:szCs w:val="22"/>
        </w:rPr>
        <w:t xml:space="preserve">findings letter which was on June 17, 2024. </w:t>
      </w:r>
    </w:p>
    <w:p w14:paraId="2A90F0AF" w14:textId="77777777" w:rsidR="00F076B6" w:rsidRPr="00AC642F" w:rsidRDefault="00F076B6">
      <w:pPr>
        <w:spacing w:before="16" w:line="260" w:lineRule="exact"/>
        <w:rPr>
          <w:sz w:val="22"/>
          <w:szCs w:val="22"/>
        </w:rPr>
      </w:pPr>
    </w:p>
    <w:p w14:paraId="156E2A04" w14:textId="77777777" w:rsidR="00DE3366" w:rsidRPr="00AC642F" w:rsidRDefault="003447C8">
      <w:pPr>
        <w:ind w:left="840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NOW,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THEREFORE,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BE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IT </w:t>
      </w:r>
      <w:r w:rsidRPr="00AC642F">
        <w:rPr>
          <w:b/>
          <w:spacing w:val="9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ORDAINED </w:t>
      </w:r>
      <w:r w:rsidRPr="00AC642F">
        <w:rPr>
          <w:b/>
          <w:spacing w:val="9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by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the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Council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of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the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City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</w:p>
    <w:p w14:paraId="3E4E9706" w14:textId="77777777" w:rsidR="00DE3366" w:rsidRPr="00AC642F" w:rsidRDefault="003447C8">
      <w:pPr>
        <w:ind w:left="120"/>
        <w:rPr>
          <w:sz w:val="22"/>
          <w:szCs w:val="22"/>
        </w:rPr>
      </w:pPr>
      <w:r w:rsidRPr="00AC642F">
        <w:rPr>
          <w:sz w:val="22"/>
          <w:szCs w:val="22"/>
        </w:rPr>
        <w:t>Barberton, State 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Ohio:</w:t>
      </w:r>
    </w:p>
    <w:p w14:paraId="6804842A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104F27F0" w14:textId="77777777" w:rsidR="00DE3366" w:rsidRPr="00AC642F" w:rsidRDefault="003447C8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SECTION</w:t>
      </w:r>
      <w:r w:rsidRPr="00AC642F">
        <w:rPr>
          <w:b/>
          <w:spacing w:val="1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1.   </w:t>
      </w:r>
      <w:r w:rsidRPr="00AC642F">
        <w:rPr>
          <w:sz w:val="22"/>
          <w:szCs w:val="22"/>
        </w:rPr>
        <w:t>That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sum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1"/>
          <w:sz w:val="22"/>
          <w:szCs w:val="22"/>
        </w:rPr>
        <w:t xml:space="preserve"> </w:t>
      </w:r>
      <w:r w:rsidR="00E86400" w:rsidRPr="00AC642F">
        <w:rPr>
          <w:sz w:val="22"/>
          <w:szCs w:val="22"/>
        </w:rPr>
        <w:t>One Hundred Fifty-One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Thousand</w:t>
      </w:r>
      <w:r w:rsidR="00E86400" w:rsidRPr="00AC642F">
        <w:rPr>
          <w:sz w:val="22"/>
          <w:szCs w:val="22"/>
        </w:rPr>
        <w:t xml:space="preserve"> Four Hundred Two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Dollars</w:t>
      </w:r>
      <w:r w:rsidRPr="00AC642F">
        <w:rPr>
          <w:spacing w:val="1"/>
          <w:sz w:val="22"/>
          <w:szCs w:val="22"/>
        </w:rPr>
        <w:t xml:space="preserve"> </w:t>
      </w:r>
      <w:r w:rsidR="00E86400" w:rsidRPr="00AC642F">
        <w:rPr>
          <w:sz w:val="22"/>
          <w:szCs w:val="22"/>
        </w:rPr>
        <w:t xml:space="preserve">and Sixty-Eight </w:t>
      </w:r>
      <w:r w:rsidRPr="00AC642F">
        <w:rPr>
          <w:sz w:val="22"/>
          <w:szCs w:val="22"/>
        </w:rPr>
        <w:t>Cents</w:t>
      </w:r>
      <w:r w:rsidRPr="00AC642F">
        <w:rPr>
          <w:spacing w:val="1"/>
          <w:sz w:val="22"/>
          <w:szCs w:val="22"/>
        </w:rPr>
        <w:t xml:space="preserve"> </w:t>
      </w:r>
      <w:r w:rsidR="00A661DE" w:rsidRPr="00AC642F">
        <w:rPr>
          <w:sz w:val="22"/>
          <w:szCs w:val="22"/>
        </w:rPr>
        <w:t>($151,402.68</w:t>
      </w:r>
      <w:r w:rsidRPr="00AC642F">
        <w:rPr>
          <w:sz w:val="22"/>
          <w:szCs w:val="22"/>
        </w:rPr>
        <w:t>)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is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hereby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appropriated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from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Unappropriated</w:t>
      </w:r>
      <w:r w:rsidRPr="00AC642F">
        <w:rPr>
          <w:spacing w:val="1"/>
          <w:sz w:val="22"/>
          <w:szCs w:val="22"/>
        </w:rPr>
        <w:t xml:space="preserve"> </w:t>
      </w:r>
      <w:r w:rsidR="00F076B6" w:rsidRPr="00AC642F">
        <w:rPr>
          <w:sz w:val="22"/>
          <w:szCs w:val="22"/>
        </w:rPr>
        <w:t xml:space="preserve">General Fund </w:t>
      </w:r>
      <w:r w:rsidR="00E86400" w:rsidRPr="00AC642F">
        <w:rPr>
          <w:sz w:val="22"/>
          <w:szCs w:val="22"/>
        </w:rPr>
        <w:t>to the Planning Departments Operation and Maintenance Fund.</w:t>
      </w:r>
    </w:p>
    <w:p w14:paraId="47BBCC26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0A939CDC" w14:textId="77777777" w:rsidR="00DE3366" w:rsidRPr="00AC642F" w:rsidRDefault="00CD69DD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SECTION 2</w:t>
      </w:r>
      <w:r w:rsidR="003447C8" w:rsidRPr="00AC642F">
        <w:rPr>
          <w:b/>
          <w:sz w:val="22"/>
          <w:szCs w:val="22"/>
        </w:rPr>
        <w:t xml:space="preserve">.   </w:t>
      </w:r>
      <w:r w:rsidR="003447C8" w:rsidRPr="00AC642F">
        <w:rPr>
          <w:b/>
          <w:spacing w:val="1"/>
          <w:sz w:val="22"/>
          <w:szCs w:val="22"/>
        </w:rPr>
        <w:t xml:space="preserve"> </w:t>
      </w:r>
      <w:r w:rsidR="003447C8" w:rsidRPr="00AC642F">
        <w:rPr>
          <w:sz w:val="22"/>
          <w:szCs w:val="22"/>
        </w:rPr>
        <w:t>That  the  Director  of  Finance  is  hereby  directed  to  draw  his warrants in payment thereof.</w:t>
      </w:r>
    </w:p>
    <w:p w14:paraId="5BF5493C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6C076E2B" w14:textId="77777777" w:rsidR="00DE3366" w:rsidRPr="00AC642F" w:rsidRDefault="003447C8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SECTION 3. </w:t>
      </w:r>
      <w:r w:rsidRPr="00AC642F">
        <w:rPr>
          <w:b/>
          <w:spacing w:val="19"/>
          <w:sz w:val="22"/>
          <w:szCs w:val="22"/>
        </w:rPr>
        <w:t xml:space="preserve"> </w:t>
      </w:r>
      <w:r w:rsidRPr="00AC642F">
        <w:rPr>
          <w:sz w:val="22"/>
          <w:szCs w:val="22"/>
        </w:rPr>
        <w:t>That it is hereby found and determined that all formal actions of this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Council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concerning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and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relating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to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passage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this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ordinance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were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taken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in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an open meeting of this Council and that all deliberations of this Council and of any of </w:t>
      </w:r>
      <w:r w:rsidR="00CD69DD" w:rsidRPr="00AC642F">
        <w:rPr>
          <w:sz w:val="22"/>
          <w:szCs w:val="22"/>
        </w:rPr>
        <w:t>its</w:t>
      </w:r>
      <w:r w:rsidRPr="00AC642F">
        <w:rPr>
          <w:sz w:val="22"/>
          <w:szCs w:val="22"/>
        </w:rPr>
        <w:t xml:space="preserve"> committees that resulted in such formal action were meetings open to the public in compliance with the law.</w:t>
      </w:r>
    </w:p>
    <w:p w14:paraId="741A4C9F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2FFA6A45" w14:textId="77777777" w:rsidR="00DE3366" w:rsidRPr="00AC642F" w:rsidRDefault="003447C8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SECTION 4. </w:t>
      </w:r>
      <w:r w:rsidRPr="00AC642F">
        <w:rPr>
          <w:b/>
          <w:spacing w:val="2"/>
          <w:sz w:val="22"/>
          <w:szCs w:val="22"/>
        </w:rPr>
        <w:t xml:space="preserve"> </w:t>
      </w:r>
      <w:r w:rsidRPr="00AC642F">
        <w:rPr>
          <w:sz w:val="22"/>
          <w:szCs w:val="22"/>
        </w:rPr>
        <w:t>That this ordinance is hereby declared to be an emergency measure necessary for the immediate preservation of the public peace, health, safety, convenience and welfare of the City of Barberto</w:t>
      </w:r>
      <w:r w:rsidR="00AC642F" w:rsidRPr="00AC642F">
        <w:rPr>
          <w:sz w:val="22"/>
          <w:szCs w:val="22"/>
        </w:rPr>
        <w:t>n and the inhabitants thereof, and to facilitate timeliness of the reimbursement</w:t>
      </w:r>
      <w:r w:rsidRPr="00AC642F">
        <w:rPr>
          <w:sz w:val="22"/>
          <w:szCs w:val="22"/>
        </w:rPr>
        <w:t>,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and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provided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it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receives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necessary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votes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required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by the City Charter, shall be in full force and effect from and after </w:t>
      </w:r>
      <w:r w:rsidR="00CD69DD" w:rsidRPr="00AC642F">
        <w:rPr>
          <w:sz w:val="22"/>
          <w:szCs w:val="22"/>
        </w:rPr>
        <w:t>its</w:t>
      </w:r>
      <w:r w:rsidRPr="00AC642F">
        <w:rPr>
          <w:sz w:val="22"/>
          <w:szCs w:val="22"/>
        </w:rPr>
        <w:t xml:space="preserve"> passage and approval; otherwise to be in full force and effect from and after the earliest period allowed by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law.</w:t>
      </w:r>
    </w:p>
    <w:p w14:paraId="34CBB24F" w14:textId="77777777" w:rsidR="00DE3366" w:rsidRPr="00AC642F" w:rsidRDefault="00DE3366">
      <w:pPr>
        <w:spacing w:before="4" w:line="100" w:lineRule="exact"/>
        <w:rPr>
          <w:sz w:val="22"/>
          <w:szCs w:val="22"/>
        </w:rPr>
      </w:pPr>
    </w:p>
    <w:p w14:paraId="058440FE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DBDFDE8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CC27883" w14:textId="1DDCD64F" w:rsidR="00DE3366" w:rsidRPr="00AC642F" w:rsidRDefault="0079453F">
      <w:pPr>
        <w:spacing w:line="260" w:lineRule="exact"/>
        <w:ind w:left="2460"/>
        <w:rPr>
          <w:sz w:val="22"/>
          <w:szCs w:val="22"/>
        </w:rPr>
      </w:pPr>
      <w:r>
        <w:rPr>
          <w:sz w:val="22"/>
          <w:szCs w:val="22"/>
        </w:rPr>
        <w:pict w14:anchorId="309C1D64">
          <v:group id="_x0000_s1030" style="position:absolute;left:0;text-align:left;margin-left:126pt;margin-top:54.95pt;width:180pt;height:0;z-index:-251659776;mso-position-horizontal-relative:page" coordorigin="2520,1099" coordsize="3600,0">
            <v:shape id="_x0000_s1031" style="position:absolute;left:2520;top:1099;width:3600;height:0" coordorigin="2520,1099" coordsize="3600,0" path="m2520,1099r3600,e" filled="f" strokeweight=".48pt">
              <v:path arrowok="t"/>
            </v:shape>
            <w10:wrap anchorx="page"/>
          </v:group>
        </w:pict>
      </w:r>
      <w:r>
        <w:rPr>
          <w:sz w:val="22"/>
          <w:szCs w:val="22"/>
        </w:rPr>
        <w:pict w14:anchorId="70205AF8">
          <v:group id="_x0000_s1028" style="position:absolute;left:0;text-align:left;margin-left:324pt;margin-top:54.95pt;width:198pt;height:0;z-index:-251658752;mso-position-horizontal-relative:page" coordorigin="6480,1099" coordsize="3960,0">
            <v:shape id="_x0000_s1029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CD69DD" w:rsidRPr="00AC642F">
        <w:rPr>
          <w:position w:val="-1"/>
          <w:sz w:val="22"/>
          <w:szCs w:val="22"/>
        </w:rPr>
        <w:t xml:space="preserve">     </w:t>
      </w:r>
      <w:r>
        <w:rPr>
          <w:sz w:val="22"/>
          <w:szCs w:val="22"/>
        </w:rPr>
        <w:t xml:space="preserve">Passed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July 8, 2024</w:t>
      </w:r>
    </w:p>
    <w:p w14:paraId="0B95FB28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13D0DE8A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4EF5FFAA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4E5E0B0D" w14:textId="77777777" w:rsidR="00DE3366" w:rsidRPr="00AC642F" w:rsidRDefault="00DE3366">
      <w:pPr>
        <w:spacing w:before="4" w:line="200" w:lineRule="exact"/>
        <w:rPr>
          <w:sz w:val="22"/>
          <w:szCs w:val="22"/>
        </w:rPr>
      </w:pPr>
    </w:p>
    <w:p w14:paraId="08DAD9F4" w14:textId="77777777" w:rsidR="00DE3366" w:rsidRPr="00AC642F" w:rsidRDefault="003447C8">
      <w:pPr>
        <w:spacing w:before="29"/>
        <w:ind w:left="840"/>
        <w:rPr>
          <w:sz w:val="22"/>
          <w:szCs w:val="22"/>
        </w:rPr>
      </w:pPr>
      <w:r w:rsidRPr="00AC642F">
        <w:rPr>
          <w:sz w:val="22"/>
          <w:szCs w:val="22"/>
        </w:rPr>
        <w:t>Clerk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Council                                      </w:t>
      </w:r>
      <w:r w:rsidRPr="00AC642F">
        <w:rPr>
          <w:spacing w:val="7"/>
          <w:sz w:val="22"/>
          <w:szCs w:val="22"/>
        </w:rPr>
        <w:t xml:space="preserve"> </w:t>
      </w:r>
      <w:r w:rsidR="00AC642F">
        <w:rPr>
          <w:spacing w:val="7"/>
          <w:sz w:val="22"/>
          <w:szCs w:val="22"/>
        </w:rPr>
        <w:t xml:space="preserve">     </w:t>
      </w:r>
      <w:r w:rsidRPr="00AC642F">
        <w:rPr>
          <w:sz w:val="22"/>
          <w:szCs w:val="22"/>
        </w:rPr>
        <w:t>President 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Council</w:t>
      </w:r>
    </w:p>
    <w:p w14:paraId="4EE80C27" w14:textId="77777777" w:rsidR="00DE3366" w:rsidRPr="00AC642F" w:rsidRDefault="00DE3366">
      <w:pPr>
        <w:spacing w:before="2" w:line="140" w:lineRule="exact"/>
        <w:rPr>
          <w:sz w:val="22"/>
          <w:szCs w:val="22"/>
        </w:rPr>
      </w:pPr>
    </w:p>
    <w:p w14:paraId="37271BF2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7267DC57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157CF61C" w14:textId="77777777" w:rsidR="00DE3366" w:rsidRPr="00AC642F" w:rsidRDefault="0079453F">
      <w:pPr>
        <w:spacing w:line="260" w:lineRule="exact"/>
        <w:ind w:left="2460"/>
        <w:rPr>
          <w:sz w:val="22"/>
          <w:szCs w:val="22"/>
        </w:rPr>
      </w:pPr>
      <w:r>
        <w:rPr>
          <w:sz w:val="22"/>
          <w:szCs w:val="22"/>
        </w:rPr>
        <w:pict w14:anchorId="244ECD8A">
          <v:group id="_x0000_s1026" style="position:absolute;left:0;text-align:left;margin-left:324pt;margin-top:54.95pt;width:198pt;height:0;z-index:-251657728;mso-position-horizontal-relative:page" coordorigin="6480,1099" coordsize="3960,0">
            <v:shape id="_x0000_s1027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3447C8" w:rsidRPr="00AC642F">
        <w:rPr>
          <w:position w:val="-1"/>
          <w:sz w:val="22"/>
          <w:szCs w:val="22"/>
        </w:rPr>
        <w:t xml:space="preserve">Approved </w:t>
      </w:r>
      <w:r w:rsidR="003447C8" w:rsidRPr="00AC642F">
        <w:rPr>
          <w:position w:val="-1"/>
          <w:sz w:val="22"/>
          <w:szCs w:val="22"/>
          <w:u w:val="single" w:color="000000"/>
        </w:rPr>
        <w:t xml:space="preserve">                                                        </w:t>
      </w:r>
      <w:r w:rsidR="00CD69DD" w:rsidRPr="00AC642F">
        <w:rPr>
          <w:position w:val="-1"/>
          <w:sz w:val="22"/>
          <w:szCs w:val="22"/>
        </w:rPr>
        <w:t xml:space="preserve"> 2024</w:t>
      </w:r>
    </w:p>
    <w:p w14:paraId="75FA576D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1FF8E6D6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2ABC6B7F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1974B31E" w14:textId="77777777" w:rsidR="00DE3366" w:rsidRPr="00AC642F" w:rsidRDefault="00DE3366">
      <w:pPr>
        <w:spacing w:before="4" w:line="200" w:lineRule="exact"/>
        <w:rPr>
          <w:sz w:val="22"/>
          <w:szCs w:val="22"/>
        </w:rPr>
      </w:pPr>
    </w:p>
    <w:p w14:paraId="2D08406B" w14:textId="77777777" w:rsidR="00DE3366" w:rsidRPr="00AC642F" w:rsidRDefault="003447C8">
      <w:pPr>
        <w:spacing w:before="29"/>
        <w:ind w:left="4762" w:right="3382"/>
        <w:jc w:val="center"/>
        <w:rPr>
          <w:sz w:val="22"/>
          <w:szCs w:val="22"/>
        </w:rPr>
      </w:pPr>
      <w:r w:rsidRPr="00AC642F">
        <w:rPr>
          <w:sz w:val="22"/>
          <w:szCs w:val="22"/>
        </w:rPr>
        <w:t>Mayor</w:t>
      </w:r>
    </w:p>
    <w:sectPr w:rsidR="00DE3366" w:rsidRPr="00AC6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/>
      <w:pgMar w:top="164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BD51" w14:textId="77777777" w:rsidR="003447C8" w:rsidRDefault="003447C8" w:rsidP="003447C8">
      <w:r>
        <w:separator/>
      </w:r>
    </w:p>
  </w:endnote>
  <w:endnote w:type="continuationSeparator" w:id="0">
    <w:p w14:paraId="3CBED0D6" w14:textId="77777777" w:rsidR="003447C8" w:rsidRDefault="003447C8" w:rsidP="003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917C" w14:textId="77777777" w:rsidR="003447C8" w:rsidRDefault="00344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AB89" w14:textId="77777777" w:rsidR="003447C8" w:rsidRDefault="00344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E1CC" w14:textId="77777777" w:rsidR="003447C8" w:rsidRDefault="00344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DAE8" w14:textId="77777777" w:rsidR="003447C8" w:rsidRDefault="003447C8" w:rsidP="003447C8">
      <w:r>
        <w:separator/>
      </w:r>
    </w:p>
  </w:footnote>
  <w:footnote w:type="continuationSeparator" w:id="0">
    <w:p w14:paraId="1D4A0513" w14:textId="77777777" w:rsidR="003447C8" w:rsidRDefault="003447C8" w:rsidP="0034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F808" w14:textId="77777777" w:rsidR="003447C8" w:rsidRDefault="00344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1850" w14:textId="436FA7EA" w:rsidR="003447C8" w:rsidRDefault="00344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435B" w14:textId="77777777" w:rsidR="003447C8" w:rsidRDefault="00344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0F48"/>
    <w:multiLevelType w:val="multilevel"/>
    <w:tmpl w:val="D38C2A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6"/>
    <w:rsid w:val="002136D5"/>
    <w:rsid w:val="00301028"/>
    <w:rsid w:val="003447C8"/>
    <w:rsid w:val="004554D1"/>
    <w:rsid w:val="00465295"/>
    <w:rsid w:val="004B2B91"/>
    <w:rsid w:val="005842F0"/>
    <w:rsid w:val="006B35EC"/>
    <w:rsid w:val="0079453F"/>
    <w:rsid w:val="00896BB7"/>
    <w:rsid w:val="00A661DE"/>
    <w:rsid w:val="00A96174"/>
    <w:rsid w:val="00AC642F"/>
    <w:rsid w:val="00CD69DD"/>
    <w:rsid w:val="00D5247A"/>
    <w:rsid w:val="00DE3366"/>
    <w:rsid w:val="00E86400"/>
    <w:rsid w:val="00F076B6"/>
    <w:rsid w:val="00F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1E886"/>
  <w15:docId w15:val="{55C9DC02-A887-4AE8-987E-07E3B570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44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7C8"/>
  </w:style>
  <w:style w:type="paragraph" w:styleId="Footer">
    <w:name w:val="footer"/>
    <w:basedOn w:val="Normal"/>
    <w:link w:val="FooterChar"/>
    <w:uiPriority w:val="99"/>
    <w:unhideWhenUsed/>
    <w:rsid w:val="00344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7C8"/>
  </w:style>
  <w:style w:type="paragraph" w:styleId="BalloonText">
    <w:name w:val="Balloon Text"/>
    <w:basedOn w:val="Normal"/>
    <w:link w:val="BalloonTextChar"/>
    <w:uiPriority w:val="99"/>
    <w:semiHidden/>
    <w:unhideWhenUsed/>
    <w:rsid w:val="00344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 Ramsey</dc:creator>
  <cp:lastModifiedBy>Laura Ries-Price</cp:lastModifiedBy>
  <cp:revision>3</cp:revision>
  <cp:lastPrinted>2024-07-08T13:02:00Z</cp:lastPrinted>
  <dcterms:created xsi:type="dcterms:W3CDTF">2024-07-08T13:52:00Z</dcterms:created>
  <dcterms:modified xsi:type="dcterms:W3CDTF">2024-07-08T14:23:00Z</dcterms:modified>
</cp:coreProperties>
</file>